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F" w:rsidRPr="00AC1D81" w:rsidRDefault="00244CBF" w:rsidP="0024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1D81">
        <w:rPr>
          <w:rFonts w:ascii="Times New Roman" w:hAnsi="Times New Roman"/>
          <w:b/>
          <w:sz w:val="28"/>
          <w:szCs w:val="28"/>
          <w:lang w:val="uk-UA"/>
        </w:rPr>
        <w:t>ДОСЛІДЖЕННЯ ЕФЕКТИВНОСТІ ВИКОРИСТАННЯ ЗДОРОВ’ЯЗБЕРІГАЮЧИХ ТЕХНОЛОГІЙ В НАВЧАЛЬНОВИХОВНОМУ ПРОЦЕСІ МОЛОДШИХ ШКОЛЯРІВ</w:t>
      </w:r>
    </w:p>
    <w:p w:rsidR="00E43183" w:rsidRDefault="00C005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Експериментальне впровадження спеціально розроблених заходів та певна низка профілактичних дій (див. ст. «</w:t>
      </w:r>
      <w:r w:rsidRPr="00C00550">
        <w:rPr>
          <w:rFonts w:ascii="Times New Roman" w:eastAsia="SimSun" w:hAnsi="Times New Roman" w:cs="Mangal"/>
          <w:color w:val="00000A"/>
          <w:sz w:val="28"/>
          <w:szCs w:val="28"/>
          <w:lang w:val="uk-UA" w:eastAsia="zh-CN" w:bidi="hi-IN"/>
        </w:rPr>
        <w:t>ЕФЕКТИВНІ ЗАСОБИ ЗБЕРЕЖЕННЯ ЗДОРОВ</w:t>
      </w:r>
      <w:r w:rsidRPr="00C00550">
        <w:rPr>
          <w:rFonts w:ascii="Times New Roman" w:eastAsia="SimSun" w:hAnsi="Times New Roman"/>
          <w:color w:val="00000A"/>
          <w:sz w:val="28"/>
          <w:szCs w:val="28"/>
          <w:lang w:val="uk-UA" w:eastAsia="zh-CN" w:bidi="hi-IN"/>
        </w:rPr>
        <w:t>′Я В НАВЧАЛЬНО-ВИХОВНОМУ ПРОЦЕСІ МОЛОДШИХ ШКОЛЯРІВ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86D2E" w:rsidRPr="00786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D2E">
        <w:rPr>
          <w:rFonts w:ascii="Times New Roman" w:hAnsi="Times New Roman"/>
          <w:sz w:val="28"/>
          <w:szCs w:val="28"/>
          <w:lang w:val="uk-UA"/>
        </w:rPr>
        <w:t>в ході експериментальної роботи  показало</w:t>
      </w:r>
      <w:r w:rsidR="001E6761">
        <w:rPr>
          <w:rFonts w:ascii="Times New Roman" w:hAnsi="Times New Roman"/>
          <w:sz w:val="28"/>
          <w:szCs w:val="28"/>
          <w:lang w:val="uk-UA"/>
        </w:rPr>
        <w:t>,</w:t>
      </w:r>
      <w:r w:rsidR="00786D2E">
        <w:rPr>
          <w:rFonts w:ascii="Times New Roman" w:hAnsi="Times New Roman"/>
          <w:sz w:val="28"/>
          <w:szCs w:val="28"/>
          <w:lang w:val="uk-UA"/>
        </w:rPr>
        <w:t xml:space="preserve"> ефективність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здоров’язберігаючих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освітніх технологій</w:t>
      </w:r>
      <w:r w:rsidR="00786D2E">
        <w:rPr>
          <w:rFonts w:ascii="Times New Roman" w:hAnsi="Times New Roman"/>
          <w:sz w:val="28"/>
          <w:szCs w:val="28"/>
          <w:lang w:val="uk-UA"/>
        </w:rPr>
        <w:t xml:space="preserve"> в навчально-виховному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786D2E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молодших школярів</w:t>
      </w:r>
      <w:r w:rsidR="001E6761">
        <w:rPr>
          <w:rFonts w:ascii="Times New Roman" w:hAnsi="Times New Roman"/>
          <w:sz w:val="28"/>
          <w:szCs w:val="28"/>
          <w:lang w:val="uk-UA"/>
        </w:rPr>
        <w:t>,</w:t>
      </w:r>
      <w:r w:rsidR="00786D2E">
        <w:rPr>
          <w:rFonts w:ascii="Times New Roman" w:hAnsi="Times New Roman"/>
          <w:sz w:val="28"/>
          <w:szCs w:val="28"/>
          <w:lang w:val="uk-UA"/>
        </w:rPr>
        <w:t xml:space="preserve"> з метою збереження та покращення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здоров’я учнів. </w:t>
      </w:r>
      <w:r w:rsidR="00786D2E">
        <w:rPr>
          <w:rFonts w:ascii="Times New Roman" w:hAnsi="Times New Roman"/>
          <w:sz w:val="28"/>
          <w:szCs w:val="28"/>
          <w:lang w:val="uk-UA"/>
        </w:rPr>
        <w:t>Т</w:t>
      </w:r>
      <w:r w:rsidR="00786D2E" w:rsidRPr="00AC1D81">
        <w:rPr>
          <w:rFonts w:ascii="Times New Roman" w:hAnsi="Times New Roman"/>
          <w:sz w:val="28"/>
          <w:szCs w:val="28"/>
          <w:lang w:val="uk-UA"/>
        </w:rPr>
        <w:t>акож ми</w:t>
      </w:r>
      <w:r w:rsidR="00786D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мали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змогу дослідити, проаналізувати та вивести динаміку </w:t>
      </w:r>
      <w:r>
        <w:rPr>
          <w:rFonts w:ascii="Times New Roman" w:hAnsi="Times New Roman"/>
          <w:sz w:val="28"/>
          <w:szCs w:val="28"/>
          <w:lang w:val="uk-UA"/>
        </w:rPr>
        <w:t xml:space="preserve">покращення загального відвідування уроків </w:t>
      </w:r>
      <w:r w:rsidRPr="00AC1D81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D2E">
        <w:rPr>
          <w:rFonts w:ascii="Times New Roman" w:hAnsi="Times New Roman"/>
          <w:sz w:val="28"/>
          <w:szCs w:val="28"/>
          <w:lang w:val="uk-UA"/>
        </w:rPr>
        <w:t>покращення розвит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786D2E">
        <w:rPr>
          <w:rFonts w:ascii="Times New Roman" w:hAnsi="Times New Roman"/>
          <w:sz w:val="28"/>
          <w:szCs w:val="28"/>
          <w:lang w:val="uk-UA"/>
        </w:rPr>
        <w:t>у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фізичних якостей</w:t>
      </w:r>
      <w:r w:rsidR="001E6761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AC1D81">
        <w:rPr>
          <w:rFonts w:ascii="Times New Roman" w:hAnsi="Times New Roman"/>
          <w:sz w:val="28"/>
          <w:szCs w:val="28"/>
          <w:lang w:val="uk-UA"/>
        </w:rPr>
        <w:t>.</w:t>
      </w:r>
    </w:p>
    <w:p w:rsidR="00FD4DA1" w:rsidRPr="00AC1D81" w:rsidRDefault="00FD4DA1" w:rsidP="00FD4D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З метою визначення динаміки загального відвідування навчальних занять необхідно:</w:t>
      </w:r>
    </w:p>
    <w:p w:rsidR="00FD4DA1" w:rsidRPr="00AC1D81" w:rsidRDefault="00FD4DA1" w:rsidP="00FD4DA1">
      <w:pPr>
        <w:numPr>
          <w:ilvl w:val="0"/>
          <w:numId w:val="2"/>
        </w:numPr>
        <w:spacing w:after="0" w:line="360" w:lineRule="auto"/>
        <w:ind w:left="110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в одному місяці обрати однакову кількість робочих днів;</w:t>
      </w:r>
    </w:p>
    <w:p w:rsidR="00FD4DA1" w:rsidRPr="00AC1D81" w:rsidRDefault="00FD4DA1" w:rsidP="00FD4DA1">
      <w:pPr>
        <w:numPr>
          <w:ilvl w:val="0"/>
          <w:numId w:val="2"/>
        </w:numPr>
        <w:spacing w:after="0" w:line="360" w:lineRule="auto"/>
        <w:ind w:left="110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порахувати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скільки учнів відвідували заняття в ці дні;</w:t>
      </w:r>
    </w:p>
    <w:p w:rsidR="00FD4DA1" w:rsidRPr="00AC1D81" w:rsidRDefault="00FD4DA1" w:rsidP="00FD4DA1">
      <w:pPr>
        <w:numPr>
          <w:ilvl w:val="0"/>
          <w:numId w:val="2"/>
        </w:numPr>
        <w:spacing w:after="0" w:line="360" w:lineRule="auto"/>
        <w:ind w:left="110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розділити цей показник на кількість обраних днів;</w:t>
      </w:r>
    </w:p>
    <w:p w:rsidR="00FD4DA1" w:rsidRPr="00AC1D81" w:rsidRDefault="00FD4DA1" w:rsidP="00FD4DA1">
      <w:pPr>
        <w:numPr>
          <w:ilvl w:val="0"/>
          <w:numId w:val="2"/>
        </w:numPr>
        <w:spacing w:after="0" w:line="360" w:lineRule="auto"/>
        <w:ind w:left="110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отриману суму розділити на загальну кількість учнів у класі;</w:t>
      </w:r>
    </w:p>
    <w:p w:rsidR="00FD4DA1" w:rsidRPr="00AC1D81" w:rsidRDefault="00FD4DA1" w:rsidP="00FD4DA1">
      <w:pPr>
        <w:numPr>
          <w:ilvl w:val="0"/>
          <w:numId w:val="2"/>
        </w:numPr>
        <w:spacing w:after="0" w:line="360" w:lineRule="auto"/>
        <w:ind w:left="110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 xml:space="preserve">отриману суму помножити на 100 %, порівняти результати </w:t>
      </w:r>
      <w:r w:rsidR="00130659">
        <w:rPr>
          <w:rFonts w:ascii="Times New Roman" w:hAnsi="Times New Roman"/>
          <w:sz w:val="28"/>
          <w:szCs w:val="28"/>
          <w:lang w:val="uk-UA"/>
        </w:rPr>
        <w:t>за останні два і більше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навчальних років.</w:t>
      </w:r>
    </w:p>
    <w:p w:rsidR="00130659" w:rsidRDefault="00FD4DA1" w:rsidP="00FD4D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Напр</w:t>
      </w:r>
      <w:r w:rsidR="00130659">
        <w:rPr>
          <w:rFonts w:ascii="Times New Roman" w:hAnsi="Times New Roman"/>
          <w:sz w:val="28"/>
          <w:szCs w:val="28"/>
          <w:lang w:val="uk-UA"/>
        </w:rPr>
        <w:t>иклад: 208÷12÷22×100=78,8% (2014-2015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н. р.),     </w:t>
      </w:r>
      <w:r w:rsidR="00130659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FD4DA1" w:rsidRDefault="00130659" w:rsidP="00D75A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FD4DA1" w:rsidRPr="00AC1D81">
        <w:rPr>
          <w:rFonts w:ascii="Times New Roman" w:hAnsi="Times New Roman"/>
          <w:sz w:val="28"/>
          <w:szCs w:val="28"/>
          <w:lang w:val="uk-UA"/>
        </w:rPr>
        <w:t xml:space="preserve">248÷12÷22×100=93,9 % </w:t>
      </w:r>
      <w:r>
        <w:rPr>
          <w:rFonts w:ascii="Times New Roman" w:hAnsi="Times New Roman"/>
          <w:sz w:val="28"/>
          <w:szCs w:val="28"/>
          <w:lang w:val="uk-UA"/>
        </w:rPr>
        <w:t>(2015-2016</w:t>
      </w:r>
      <w:r w:rsidR="00FD4DA1" w:rsidRPr="00AC1D81">
        <w:rPr>
          <w:rFonts w:ascii="Times New Roman" w:hAnsi="Times New Roman"/>
          <w:sz w:val="28"/>
          <w:szCs w:val="28"/>
          <w:lang w:val="uk-UA"/>
        </w:rPr>
        <w:t xml:space="preserve"> н. р.).</w:t>
      </w:r>
    </w:p>
    <w:p w:rsidR="00FD4DA1" w:rsidRPr="00AC1D81" w:rsidRDefault="00FD4DA1" w:rsidP="00FD4DA1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Для того щоб дослідити, проаналізувати та визначити динаміку</w:t>
      </w:r>
      <w:r w:rsidR="00D75A8E">
        <w:rPr>
          <w:rFonts w:ascii="Times New Roman" w:hAnsi="Times New Roman"/>
          <w:sz w:val="28"/>
          <w:szCs w:val="28"/>
          <w:lang w:val="uk-UA"/>
        </w:rPr>
        <w:t xml:space="preserve"> розвитку фізичних якостей учнів проводимо тестування </w:t>
      </w:r>
      <w:r w:rsidR="00130659">
        <w:rPr>
          <w:rFonts w:ascii="Times New Roman" w:hAnsi="Times New Roman"/>
          <w:sz w:val="28"/>
          <w:szCs w:val="28"/>
          <w:lang w:val="uk-UA"/>
        </w:rPr>
        <w:t xml:space="preserve"> на початку року та у кін</w:t>
      </w:r>
      <w:r w:rsidR="00165AB5">
        <w:rPr>
          <w:rFonts w:ascii="Times New Roman" w:hAnsi="Times New Roman"/>
          <w:sz w:val="28"/>
          <w:szCs w:val="28"/>
          <w:lang w:val="uk-UA"/>
        </w:rPr>
        <w:t>ці першого та другого семестрів,</w:t>
      </w:r>
      <w:r w:rsidR="00165AB5" w:rsidRPr="00165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AB5">
        <w:rPr>
          <w:rFonts w:ascii="Times New Roman" w:hAnsi="Times New Roman"/>
          <w:sz w:val="28"/>
          <w:szCs w:val="28"/>
          <w:lang w:val="uk-UA"/>
        </w:rPr>
        <w:t>результати порівнюються.</w:t>
      </w:r>
      <w:r w:rsidR="001306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D81">
        <w:rPr>
          <w:rFonts w:ascii="Times New Roman" w:hAnsi="Times New Roman"/>
          <w:sz w:val="28"/>
          <w:szCs w:val="28"/>
          <w:lang w:val="uk-UA"/>
        </w:rPr>
        <w:t>Для виконання школярам були запропоновані наступні тестові вправи:</w:t>
      </w:r>
    </w:p>
    <w:p w:rsidR="00FD4DA1" w:rsidRPr="00AC1D81" w:rsidRDefault="00FD4DA1" w:rsidP="00FD4DA1">
      <w:pPr>
        <w:numPr>
          <w:ilvl w:val="0"/>
          <w:numId w:val="1"/>
        </w:numPr>
        <w:spacing w:after="0" w:line="360" w:lineRule="auto"/>
        <w:ind w:left="1100" w:hanging="4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AC1D81">
        <w:rPr>
          <w:rFonts w:ascii="Times New Roman" w:hAnsi="Times New Roman"/>
          <w:sz w:val="28"/>
          <w:szCs w:val="28"/>
          <w:lang w:val="uk-UA"/>
        </w:rPr>
        <w:t>стрибок в довжину з місця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(швидкісно-силові якості);</w:t>
      </w:r>
    </w:p>
    <w:p w:rsidR="00FD4DA1" w:rsidRPr="00AC1D81" w:rsidRDefault="00FD4DA1" w:rsidP="00FD4DA1">
      <w:pPr>
        <w:numPr>
          <w:ilvl w:val="0"/>
          <w:numId w:val="1"/>
        </w:numPr>
        <w:spacing w:after="0" w:line="360" w:lineRule="auto"/>
        <w:ind w:left="1100" w:hanging="47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</w:rPr>
        <w:t>«</w:t>
      </w:r>
      <w:r w:rsidRPr="00AC1D81">
        <w:rPr>
          <w:rFonts w:ascii="Times New Roman" w:hAnsi="Times New Roman"/>
          <w:sz w:val="28"/>
          <w:szCs w:val="28"/>
          <w:lang w:val="uk-UA"/>
        </w:rPr>
        <w:t>Човниковий бі</w:t>
      </w:r>
      <w:proofErr w:type="gramStart"/>
      <w:r w:rsidRPr="00AC1D81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AC1D81">
        <w:rPr>
          <w:rFonts w:ascii="Times New Roman" w:hAnsi="Times New Roman"/>
          <w:sz w:val="28"/>
          <w:szCs w:val="28"/>
          <w:lang w:val="uk-UA"/>
        </w:rPr>
        <w:t>»</w:t>
      </w:r>
      <w:r w:rsidRPr="00AC1D81">
        <w:rPr>
          <w:rFonts w:ascii="Times New Roman" w:hAnsi="Times New Roman"/>
          <w:sz w:val="28"/>
          <w:szCs w:val="28"/>
        </w:rPr>
        <w:t xml:space="preserve"> 4 </w:t>
      </w:r>
      <w:r w:rsidRPr="00AC1D81">
        <w:rPr>
          <w:rFonts w:ascii="Times New Roman" w:hAnsi="Times New Roman"/>
          <w:sz w:val="28"/>
          <w:szCs w:val="28"/>
          <w:lang w:val="uk-UA"/>
        </w:rPr>
        <w:t>х</w:t>
      </w:r>
      <w:r w:rsidRPr="00AC1D81">
        <w:rPr>
          <w:rFonts w:ascii="Times New Roman" w:hAnsi="Times New Roman"/>
          <w:sz w:val="28"/>
          <w:szCs w:val="28"/>
        </w:rPr>
        <w:t xml:space="preserve"> 9 </w:t>
      </w:r>
      <w:r w:rsidRPr="00AC1D81">
        <w:rPr>
          <w:rFonts w:ascii="Times New Roman" w:hAnsi="Times New Roman"/>
          <w:sz w:val="28"/>
          <w:szCs w:val="28"/>
          <w:lang w:val="uk-UA"/>
        </w:rPr>
        <w:t>м (спритність);</w:t>
      </w:r>
    </w:p>
    <w:p w:rsidR="00FD4DA1" w:rsidRDefault="00FD4DA1" w:rsidP="00FD4DA1">
      <w:pPr>
        <w:numPr>
          <w:ilvl w:val="0"/>
          <w:numId w:val="1"/>
        </w:numPr>
        <w:spacing w:after="0" w:line="360" w:lineRule="auto"/>
        <w:ind w:left="1100" w:hanging="4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нахил </w:t>
      </w:r>
      <w:r>
        <w:rPr>
          <w:rFonts w:ascii="Times New Roman" w:hAnsi="Times New Roman"/>
          <w:sz w:val="28"/>
          <w:szCs w:val="28"/>
          <w:lang w:val="uk-UA"/>
        </w:rPr>
        <w:t>тулуба вперед з положення сидячи»</w:t>
      </w:r>
      <w:r w:rsidRPr="00AC1D81">
        <w:rPr>
          <w:rFonts w:ascii="Times New Roman" w:hAnsi="Times New Roman"/>
          <w:sz w:val="28"/>
          <w:szCs w:val="28"/>
          <w:lang w:val="uk-UA"/>
        </w:rPr>
        <w:t>(гнучкість);</w:t>
      </w:r>
    </w:p>
    <w:p w:rsidR="002C5A21" w:rsidRDefault="00165AB5" w:rsidP="00165AB5">
      <w:pPr>
        <w:tabs>
          <w:tab w:val="left" w:pos="15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75A8E">
        <w:rPr>
          <w:rFonts w:ascii="Times New Roman" w:hAnsi="Times New Roman"/>
          <w:sz w:val="28"/>
          <w:szCs w:val="28"/>
          <w:lang w:val="uk-UA"/>
        </w:rPr>
        <w:t xml:space="preserve">а допомогою математичних обчислень виводиться </w:t>
      </w:r>
      <w:r>
        <w:rPr>
          <w:rFonts w:ascii="Times New Roman" w:hAnsi="Times New Roman"/>
          <w:sz w:val="28"/>
          <w:szCs w:val="28"/>
          <w:lang w:val="uk-UA"/>
        </w:rPr>
        <w:t>загальний приріст або навпаки зменшення результатів виконання вправи.</w:t>
      </w:r>
    </w:p>
    <w:p w:rsidR="00D75A8E" w:rsidRDefault="002C5A21" w:rsidP="00165AB5">
      <w:pPr>
        <w:tabs>
          <w:tab w:val="left" w:pos="15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165AB5">
        <w:rPr>
          <w:rFonts w:ascii="Times New Roman" w:hAnsi="Times New Roman"/>
          <w:sz w:val="28"/>
          <w:szCs w:val="28"/>
          <w:lang w:val="uk-UA"/>
        </w:rPr>
        <w:t xml:space="preserve"> Але з урахуванням фізіологічних змін організму дітей,</w:t>
      </w:r>
      <w:r w:rsidR="00165AB5" w:rsidRPr="00165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>згідно державних вимог до рівня загальноосвітньої підготовки учнів</w:t>
      </w:r>
      <w:r w:rsidR="00165AB5">
        <w:rPr>
          <w:rFonts w:ascii="Times New Roman" w:hAnsi="Times New Roman"/>
          <w:sz w:val="28"/>
          <w:szCs w:val="28"/>
          <w:lang w:val="uk-UA"/>
        </w:rPr>
        <w:t>, вправа оцінюється за допомогою таблиці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 xml:space="preserve"> контрольних навчальних нормативів</w:t>
      </w:r>
      <w:r w:rsidR="00165AB5">
        <w:rPr>
          <w:rFonts w:ascii="Times New Roman" w:hAnsi="Times New Roman"/>
          <w:sz w:val="28"/>
          <w:szCs w:val="28"/>
          <w:lang w:val="uk-UA"/>
        </w:rPr>
        <w:t>,</w:t>
      </w:r>
      <w:r w:rsidR="00165AB5" w:rsidRPr="00165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>за якою</w:t>
      </w:r>
      <w:r>
        <w:rPr>
          <w:rFonts w:ascii="Times New Roman" w:hAnsi="Times New Roman"/>
          <w:sz w:val="28"/>
          <w:szCs w:val="28"/>
          <w:lang w:val="uk-UA"/>
        </w:rPr>
        <w:t xml:space="preserve"> дитина не отримує навчальну оцінку (предмет «Фізична культура не оцінюється» у початковій школі), а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 xml:space="preserve"> показ</w:t>
      </w:r>
      <w:r w:rsidR="00165AB5">
        <w:rPr>
          <w:rFonts w:ascii="Times New Roman" w:hAnsi="Times New Roman"/>
          <w:sz w:val="28"/>
          <w:szCs w:val="28"/>
          <w:lang w:val="uk-UA"/>
        </w:rPr>
        <w:t>ники виконаної вправи  оцінюють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>ся за наступними рівнями навчальних досягнень : початковий</w:t>
      </w:r>
      <w:r w:rsidR="00165AB5">
        <w:rPr>
          <w:rFonts w:ascii="Times New Roman" w:hAnsi="Times New Roman"/>
          <w:sz w:val="28"/>
          <w:szCs w:val="28"/>
          <w:lang w:val="uk-UA"/>
        </w:rPr>
        <w:t xml:space="preserve">, середній, </w:t>
      </w:r>
      <w:r w:rsidR="00165AB5" w:rsidRPr="00AC1D81">
        <w:rPr>
          <w:rFonts w:ascii="Times New Roman" w:hAnsi="Times New Roman"/>
          <w:sz w:val="28"/>
          <w:szCs w:val="28"/>
          <w:lang w:val="uk-UA"/>
        </w:rPr>
        <w:t>достатній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65AB5">
        <w:rPr>
          <w:rFonts w:ascii="Times New Roman" w:hAnsi="Times New Roman"/>
          <w:sz w:val="28"/>
          <w:szCs w:val="28"/>
          <w:lang w:val="uk-UA"/>
        </w:rPr>
        <w:t xml:space="preserve"> високий.</w:t>
      </w:r>
    </w:p>
    <w:p w:rsidR="002C5A21" w:rsidRDefault="002C5A21" w:rsidP="00165AB5">
      <w:pPr>
        <w:tabs>
          <w:tab w:val="left" w:pos="15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1B3">
        <w:rPr>
          <w:rFonts w:ascii="Times New Roman" w:hAnsi="Times New Roman"/>
          <w:b/>
          <w:sz w:val="28"/>
          <w:szCs w:val="28"/>
          <w:lang w:val="uk-UA"/>
        </w:rPr>
        <w:t>Наприклад</w:t>
      </w:r>
      <w:r w:rsidR="005B31B3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B31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результати учнів </w:t>
      </w:r>
      <w:r w:rsidR="005B31B3"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5B31B3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 xml:space="preserve">  за </w:t>
      </w:r>
      <w:r w:rsidR="005B31B3">
        <w:rPr>
          <w:rFonts w:ascii="Times New Roman" w:hAnsi="Times New Roman"/>
          <w:sz w:val="28"/>
          <w:szCs w:val="28"/>
          <w:lang w:val="uk-UA"/>
        </w:rPr>
        <w:t>тестовими вправами</w:t>
      </w:r>
      <w:r w:rsidRPr="002C5A2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190875"/>
            <wp:effectExtent l="0" t="0" r="0" b="0"/>
            <wp:docPr id="1054" name="Діаграма 10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5A21" w:rsidRDefault="005B31B3" w:rsidP="00165AB5">
      <w:pPr>
        <w:tabs>
          <w:tab w:val="left" w:pos="15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1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181350"/>
            <wp:effectExtent l="19050" t="0" r="9525" b="0"/>
            <wp:docPr id="10269" name="Діаграма 102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1B3" w:rsidRDefault="005B31B3" w:rsidP="00165AB5">
      <w:pPr>
        <w:tabs>
          <w:tab w:val="left" w:pos="15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31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3181350"/>
            <wp:effectExtent l="0" t="0" r="0" b="0"/>
            <wp:docPr id="10267" name="Діаграма 102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A21" w:rsidRDefault="009A5A19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таблицями бачимо</w:t>
      </w:r>
      <w:r w:rsidR="008623E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д</w:t>
      </w:r>
      <w:r w:rsidR="002C5A21">
        <w:rPr>
          <w:rFonts w:ascii="Times New Roman" w:hAnsi="Times New Roman"/>
          <w:sz w:val="28"/>
          <w:szCs w:val="28"/>
          <w:lang w:val="uk-UA"/>
        </w:rPr>
        <w:t>инаміка покрашення рівня навчальних досягнень та приріст розвитку фізичних якос</w:t>
      </w:r>
      <w:r w:rsidR="001E6761">
        <w:rPr>
          <w:rFonts w:ascii="Times New Roman" w:hAnsi="Times New Roman"/>
          <w:sz w:val="28"/>
          <w:szCs w:val="28"/>
          <w:lang w:val="uk-UA"/>
        </w:rPr>
        <w:t>тей молодших школярів позитивні. М</w:t>
      </w:r>
      <w:r w:rsidR="002C5A21">
        <w:rPr>
          <w:rFonts w:ascii="Times New Roman" w:hAnsi="Times New Roman"/>
          <w:sz w:val="28"/>
          <w:szCs w:val="28"/>
          <w:lang w:val="uk-UA"/>
        </w:rPr>
        <w:t>айже у всіх дітей покращ</w:t>
      </w:r>
      <w:r w:rsidR="001E6761">
        <w:rPr>
          <w:rFonts w:ascii="Times New Roman" w:hAnsi="Times New Roman"/>
          <w:sz w:val="28"/>
          <w:szCs w:val="28"/>
          <w:lang w:val="uk-UA"/>
        </w:rPr>
        <w:t xml:space="preserve">ились </w:t>
      </w:r>
      <w:r w:rsidR="002C5A21">
        <w:rPr>
          <w:rFonts w:ascii="Times New Roman" w:hAnsi="Times New Roman"/>
          <w:sz w:val="28"/>
          <w:szCs w:val="28"/>
          <w:lang w:val="uk-UA"/>
        </w:rPr>
        <w:t xml:space="preserve">показники виконання фізичних вправ: швидкісно-силові якості за тестом «стрибок в довжину з місця» покращилися на 19 см, спритність за тестом </w:t>
      </w:r>
      <w:r w:rsidR="002C5A21">
        <w:rPr>
          <w:rFonts w:ascii="Times New Roman" w:hAnsi="Times New Roman"/>
          <w:sz w:val="28"/>
          <w:szCs w:val="28"/>
        </w:rPr>
        <w:t>“</w:t>
      </w:r>
      <w:r w:rsidR="002C5A21">
        <w:rPr>
          <w:rFonts w:ascii="Times New Roman" w:hAnsi="Times New Roman"/>
          <w:sz w:val="28"/>
          <w:szCs w:val="28"/>
          <w:lang w:val="uk-UA"/>
        </w:rPr>
        <w:t>човниковий біг 4 х 9 м</w:t>
      </w:r>
      <w:r w:rsidR="002C5A21">
        <w:rPr>
          <w:rFonts w:ascii="Times New Roman" w:hAnsi="Times New Roman"/>
          <w:sz w:val="28"/>
          <w:szCs w:val="28"/>
        </w:rPr>
        <w:t>”</w:t>
      </w:r>
      <w:r w:rsidR="002C5A21">
        <w:rPr>
          <w:rFonts w:ascii="Times New Roman" w:hAnsi="Times New Roman"/>
          <w:sz w:val="28"/>
          <w:szCs w:val="28"/>
          <w:lang w:val="uk-UA"/>
        </w:rPr>
        <w:t xml:space="preserve"> – на 1,6 с, </w:t>
      </w:r>
      <w:r w:rsidR="005B31B3">
        <w:rPr>
          <w:rFonts w:ascii="Times New Roman" w:hAnsi="Times New Roman"/>
          <w:sz w:val="28"/>
          <w:szCs w:val="28"/>
          <w:lang w:val="uk-UA"/>
        </w:rPr>
        <w:t>н</w:t>
      </w:r>
      <w:r w:rsidR="005B31B3" w:rsidRPr="00AC1D81">
        <w:rPr>
          <w:rFonts w:ascii="Times New Roman" w:hAnsi="Times New Roman"/>
          <w:sz w:val="28"/>
          <w:szCs w:val="28"/>
          <w:lang w:val="uk-UA"/>
        </w:rPr>
        <w:t xml:space="preserve">айбільші кількісні зміни були встановлені </w:t>
      </w:r>
      <w:r w:rsidR="002C5A21">
        <w:rPr>
          <w:rFonts w:ascii="Times New Roman" w:hAnsi="Times New Roman"/>
          <w:sz w:val="28"/>
          <w:szCs w:val="28"/>
          <w:lang w:val="uk-UA"/>
        </w:rPr>
        <w:t xml:space="preserve">за тестом «нахил тулуба вперед з положення </w:t>
      </w:r>
      <w:proofErr w:type="spellStart"/>
      <w:r w:rsidR="002C5A21">
        <w:rPr>
          <w:rFonts w:ascii="Times New Roman" w:hAnsi="Times New Roman"/>
          <w:sz w:val="28"/>
          <w:szCs w:val="28"/>
          <w:lang w:val="uk-UA"/>
        </w:rPr>
        <w:t>сидячи»</w:t>
      </w:r>
      <w:proofErr w:type="spellEnd"/>
      <w:r w:rsidR="001E6761">
        <w:rPr>
          <w:rFonts w:ascii="Times New Roman" w:hAnsi="Times New Roman"/>
          <w:sz w:val="28"/>
          <w:szCs w:val="28"/>
          <w:lang w:val="uk-UA"/>
        </w:rPr>
        <w:t>,</w:t>
      </w:r>
      <w:r w:rsidR="00C24979">
        <w:rPr>
          <w:rFonts w:ascii="Times New Roman" w:hAnsi="Times New Roman"/>
          <w:sz w:val="28"/>
          <w:szCs w:val="28"/>
          <w:lang w:val="uk-UA"/>
        </w:rPr>
        <w:t xml:space="preserve"> показники гнучкості покращились </w:t>
      </w:r>
      <w:r w:rsidR="002C5A21">
        <w:rPr>
          <w:rFonts w:ascii="Times New Roman" w:hAnsi="Times New Roman"/>
          <w:sz w:val="28"/>
          <w:szCs w:val="28"/>
          <w:lang w:val="uk-UA"/>
        </w:rPr>
        <w:t xml:space="preserve"> – на 2,5</w:t>
      </w:r>
      <w:r w:rsidR="00C24979">
        <w:rPr>
          <w:rFonts w:ascii="Times New Roman" w:hAnsi="Times New Roman"/>
          <w:sz w:val="28"/>
          <w:szCs w:val="28"/>
          <w:lang w:val="uk-UA"/>
        </w:rPr>
        <w:t xml:space="preserve"> см</w:t>
      </w:r>
      <w:r w:rsidR="002C5A21">
        <w:rPr>
          <w:rFonts w:ascii="Times New Roman" w:hAnsi="Times New Roman"/>
          <w:sz w:val="28"/>
          <w:szCs w:val="28"/>
          <w:lang w:val="uk-UA"/>
        </w:rPr>
        <w:t>.</w:t>
      </w:r>
      <w:r w:rsidR="00C24979">
        <w:rPr>
          <w:rFonts w:ascii="Times New Roman" w:hAnsi="Times New Roman"/>
          <w:sz w:val="28"/>
          <w:szCs w:val="28"/>
          <w:lang w:val="uk-UA"/>
        </w:rPr>
        <w:t xml:space="preserve"> Також бачимо, що на початку експерименту </w:t>
      </w:r>
      <w:r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="00C24979">
        <w:rPr>
          <w:rFonts w:ascii="Times New Roman" w:hAnsi="Times New Roman"/>
          <w:sz w:val="28"/>
          <w:szCs w:val="28"/>
          <w:lang w:val="uk-UA"/>
        </w:rPr>
        <w:t>виконували тестові вправи на початковому та середньому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та наприкінці експерименту більшість дітей покращили свої </w:t>
      </w:r>
      <w:r w:rsidR="001E6761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uk-UA"/>
        </w:rPr>
        <w:t>до високого та достатнього рівня.</w:t>
      </w:r>
    </w:p>
    <w:p w:rsidR="000E7288" w:rsidRDefault="008623E0" w:rsidP="000E72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В ході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було розроблено нестандартний вимірювальний пристрій, для моніторингу впливу використання спеціально розроблених комплексів </w:t>
      </w:r>
      <w:proofErr w:type="spellStart"/>
      <w:r w:rsidRPr="00AC1D81">
        <w:rPr>
          <w:rFonts w:ascii="Times New Roman" w:hAnsi="Times New Roman"/>
          <w:sz w:val="28"/>
          <w:szCs w:val="28"/>
          <w:lang w:val="uk-UA"/>
        </w:rPr>
        <w:t>фізхвилинок</w:t>
      </w:r>
      <w:proofErr w:type="spellEnd"/>
      <w:r w:rsidRPr="00AC1D81">
        <w:rPr>
          <w:rFonts w:ascii="Times New Roman" w:hAnsi="Times New Roman"/>
          <w:sz w:val="28"/>
          <w:szCs w:val="28"/>
          <w:lang w:val="uk-UA"/>
        </w:rPr>
        <w:t xml:space="preserve"> та ранкової суглобової гімнастики на розв</w:t>
      </w:r>
      <w:r w:rsidR="001E6761">
        <w:rPr>
          <w:rFonts w:ascii="Times New Roman" w:hAnsi="Times New Roman"/>
          <w:sz w:val="28"/>
          <w:szCs w:val="28"/>
          <w:lang w:val="uk-UA"/>
        </w:rPr>
        <w:t>иток активної гнучкості у дітей.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761">
        <w:rPr>
          <w:rFonts w:ascii="Times New Roman" w:hAnsi="Times New Roman"/>
          <w:sz w:val="28"/>
          <w:szCs w:val="28"/>
          <w:lang w:val="uk-UA"/>
        </w:rPr>
        <w:t xml:space="preserve">Пристрій </w:t>
      </w:r>
      <w:r w:rsidRPr="00AC1D81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ацює за принципом транспортиру</w:t>
      </w:r>
      <w:r w:rsidRPr="00AC1D81">
        <w:rPr>
          <w:rFonts w:ascii="Times New Roman" w:hAnsi="Times New Roman"/>
          <w:sz w:val="28"/>
          <w:szCs w:val="28"/>
          <w:lang w:val="uk-UA"/>
        </w:rPr>
        <w:t>.</w:t>
      </w:r>
      <w:r w:rsidR="000E7288">
        <w:rPr>
          <w:rFonts w:ascii="Times New Roman" w:hAnsi="Times New Roman"/>
          <w:sz w:val="28"/>
          <w:szCs w:val="28"/>
          <w:lang w:val="uk-UA"/>
        </w:rPr>
        <w:t xml:space="preserve"> Також розроблені та представлені вправи, які можна використовувати для </w:t>
      </w:r>
      <w:r w:rsidR="000E7288" w:rsidRPr="003F18D2">
        <w:rPr>
          <w:rFonts w:ascii="Times New Roman" w:hAnsi="Times New Roman"/>
          <w:sz w:val="28"/>
          <w:szCs w:val="28"/>
          <w:lang w:val="uk-UA"/>
        </w:rPr>
        <w:t>вимірювання гнучкості у кутових мірах</w:t>
      </w:r>
      <w:r w:rsidR="000E7288">
        <w:rPr>
          <w:rFonts w:ascii="Times New Roman" w:hAnsi="Times New Roman"/>
          <w:sz w:val="28"/>
          <w:szCs w:val="28"/>
          <w:lang w:val="uk-UA"/>
        </w:rPr>
        <w:t>.</w:t>
      </w:r>
    </w:p>
    <w:p w:rsidR="008623E0" w:rsidRDefault="008623E0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3E0" w:rsidRPr="00E55E3D" w:rsidRDefault="008623E0" w:rsidP="008623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E3D">
        <w:rPr>
          <w:rFonts w:ascii="Times New Roman" w:hAnsi="Times New Roman"/>
          <w:b/>
          <w:sz w:val="28"/>
          <w:szCs w:val="28"/>
          <w:lang w:val="uk-UA"/>
        </w:rPr>
        <w:t>Нестандартний вимірювальний пристрій для визначення гнучкості</w:t>
      </w:r>
    </w:p>
    <w:p w:rsidR="008623E0" w:rsidRDefault="007019AA" w:rsidP="008623E0">
      <w:pPr>
        <w:spacing w:line="36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 xml:space="preserve">      </w:t>
      </w:r>
      <w:r w:rsidR="008623E0" w:rsidRPr="00E55E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5365" cy="2709459"/>
            <wp:effectExtent l="19050" t="0" r="635" b="0"/>
            <wp:docPr id="10261" name="Рисунок 10261" descr="C:\Users\User\Desktop\IMG_20150414_16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50414_161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7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E0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</w:t>
      </w:r>
      <w:r w:rsidR="008623E0" w:rsidRPr="00E55E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2714854"/>
            <wp:effectExtent l="19050" t="0" r="0" b="0"/>
            <wp:docPr id="24" name="Рисунок 10262" descr="C:\Users\User\Desktop\IMG_20150414_1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50414_161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70" cy="27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E0" w:rsidRDefault="000E7288" w:rsidP="000E72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розроблені та представлені вправи, які можна використовувати для </w:t>
      </w:r>
      <w:r w:rsidRPr="003F18D2">
        <w:rPr>
          <w:rFonts w:ascii="Times New Roman" w:hAnsi="Times New Roman"/>
          <w:sz w:val="28"/>
          <w:szCs w:val="28"/>
          <w:lang w:val="uk-UA"/>
        </w:rPr>
        <w:t>вимірювання гнучкості у кутових мірах</w:t>
      </w:r>
      <w:r>
        <w:rPr>
          <w:rFonts w:ascii="Times New Roman" w:hAnsi="Times New Roman"/>
          <w:sz w:val="28"/>
          <w:szCs w:val="28"/>
          <w:lang w:val="uk-UA"/>
        </w:rPr>
        <w:t xml:space="preserve">. Такі вправи входять до комплексу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7288" w:rsidRDefault="008623E0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 xml:space="preserve"> Вимірювачем гнучкості – є максимальна ампліту</w:t>
      </w:r>
      <w:r>
        <w:rPr>
          <w:rFonts w:ascii="Times New Roman" w:hAnsi="Times New Roman"/>
          <w:sz w:val="28"/>
          <w:szCs w:val="28"/>
          <w:lang w:val="uk-UA"/>
        </w:rPr>
        <w:t>да рухів.</w:t>
      </w:r>
      <w:r w:rsidRPr="00AC1D81">
        <w:rPr>
          <w:rFonts w:ascii="Times New Roman" w:hAnsi="Times New Roman"/>
          <w:sz w:val="28"/>
          <w:szCs w:val="28"/>
          <w:lang w:val="uk-UA"/>
        </w:rPr>
        <w:t xml:space="preserve"> Її виражають або в кутових, або в лінійних мірах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C1D81">
        <w:rPr>
          <w:rFonts w:ascii="Times New Roman" w:hAnsi="Times New Roman"/>
          <w:sz w:val="28"/>
          <w:szCs w:val="28"/>
          <w:lang w:val="uk-UA"/>
        </w:rPr>
        <w:t>А  за допомогою  нестандартного вимірювального пристрою після виконання запропонованих тестових вправ були отримані данні  розвитку гнучкості в кутових мірах</w:t>
      </w:r>
      <w:r>
        <w:rPr>
          <w:rFonts w:ascii="Times New Roman" w:hAnsi="Times New Roman"/>
          <w:sz w:val="28"/>
          <w:szCs w:val="28"/>
          <w:lang w:val="uk-UA"/>
        </w:rPr>
        <w:t xml:space="preserve"> (градусах). </w:t>
      </w:r>
    </w:p>
    <w:p w:rsidR="000E7288" w:rsidRPr="00E55E3D" w:rsidRDefault="000E7288" w:rsidP="000E72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E3D">
        <w:rPr>
          <w:rFonts w:ascii="Times New Roman" w:hAnsi="Times New Roman"/>
          <w:b/>
          <w:sz w:val="28"/>
          <w:szCs w:val="28"/>
          <w:lang w:val="uk-UA"/>
        </w:rPr>
        <w:t xml:space="preserve">Тестові вправи нахил тулуба вперед з положення стоячи для вимірювання гнучкості </w:t>
      </w:r>
    </w:p>
    <w:p w:rsidR="000E7288" w:rsidRPr="00E55E3D" w:rsidRDefault="000E7288" w:rsidP="000E72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5E3D">
        <w:rPr>
          <w:rFonts w:ascii="Times New Roman" w:hAnsi="Times New Roman"/>
          <w:b/>
          <w:sz w:val="28"/>
          <w:szCs w:val="28"/>
          <w:lang w:val="uk-UA"/>
        </w:rPr>
        <w:t xml:space="preserve">                       1                                        2                                         3</w:t>
      </w:r>
    </w:p>
    <w:p w:rsidR="000E7288" w:rsidRDefault="000E7288" w:rsidP="000E7288">
      <w:pPr>
        <w:spacing w:line="36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E55E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4526" cy="2552632"/>
            <wp:effectExtent l="19050" t="0" r="9524" b="0"/>
            <wp:docPr id="10263" name="Рисунок 1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G_20150415_1428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61" cy="257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Pr="00E55E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9763" cy="2546350"/>
            <wp:effectExtent l="0" t="0" r="0" b="0"/>
            <wp:docPr id="10264" name="Рисунок 10264" descr="C:\Users\User\Desktop\IMG_20150414_16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0414_164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68" cy="25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Pr="00E55E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2620" cy="2550092"/>
            <wp:effectExtent l="0" t="0" r="0" b="0"/>
            <wp:docPr id="10265" name="Рисунок 1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G_20150415_1426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98" cy="25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88" w:rsidRPr="00E55E3D" w:rsidRDefault="000E7288" w:rsidP="000E72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Техніка виконання кожної вправи</w:t>
      </w:r>
    </w:p>
    <w:p w:rsidR="000E7288" w:rsidRPr="00E55E3D" w:rsidRDefault="000E7288" w:rsidP="000E7288">
      <w:pPr>
        <w:spacing w:line="36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1)</w:t>
      </w:r>
      <w:r w:rsidRPr="00E55E3D">
        <w:rPr>
          <w:rFonts w:ascii="Times New Roman" w:hAnsi="Times New Roman"/>
          <w:sz w:val="18"/>
          <w:szCs w:val="18"/>
          <w:lang w:val="uk-UA"/>
        </w:rPr>
        <w:t xml:space="preserve">Нахил тулуба вперед стоячи,                     </w:t>
      </w:r>
      <w:r>
        <w:rPr>
          <w:rFonts w:ascii="Times New Roman" w:hAnsi="Times New Roman"/>
          <w:sz w:val="18"/>
          <w:szCs w:val="18"/>
          <w:lang w:val="uk-UA"/>
        </w:rPr>
        <w:t>2)</w:t>
      </w:r>
      <w:r w:rsidRPr="00E55E3D">
        <w:rPr>
          <w:rFonts w:ascii="Times New Roman" w:hAnsi="Times New Roman"/>
          <w:sz w:val="18"/>
          <w:szCs w:val="18"/>
          <w:lang w:val="uk-UA"/>
        </w:rPr>
        <w:t xml:space="preserve">Скласти руки за спиною в замок,            </w:t>
      </w:r>
      <w:r>
        <w:rPr>
          <w:rFonts w:ascii="Times New Roman" w:hAnsi="Times New Roman"/>
          <w:sz w:val="18"/>
          <w:szCs w:val="18"/>
          <w:lang w:val="uk-UA"/>
        </w:rPr>
        <w:t>3)</w:t>
      </w:r>
      <w:r w:rsidRPr="00E55E3D">
        <w:rPr>
          <w:rFonts w:ascii="Times New Roman" w:hAnsi="Times New Roman"/>
          <w:sz w:val="18"/>
          <w:szCs w:val="18"/>
          <w:lang w:val="uk-UA"/>
        </w:rPr>
        <w:t>Стати прямо, руки підняти вгору,</w:t>
      </w:r>
    </w:p>
    <w:p w:rsidR="000E7288" w:rsidRPr="00E55E3D" w:rsidRDefault="000E7288" w:rsidP="000E7288">
      <w:pPr>
        <w:spacing w:line="360" w:lineRule="auto"/>
        <w:rPr>
          <w:rFonts w:ascii="Times New Roman" w:hAnsi="Times New Roman"/>
          <w:sz w:val="18"/>
          <w:szCs w:val="18"/>
          <w:lang w:val="uk-UA"/>
        </w:rPr>
      </w:pPr>
      <w:r w:rsidRPr="00E55E3D">
        <w:rPr>
          <w:rFonts w:ascii="Times New Roman" w:hAnsi="Times New Roman"/>
          <w:sz w:val="18"/>
          <w:szCs w:val="18"/>
          <w:lang w:val="uk-UA"/>
        </w:rPr>
        <w:t>руки витягнути вперед,                               підняти їх в такому положенні                скласти їх разом і нахилитися в право</w:t>
      </w:r>
    </w:p>
    <w:p w:rsidR="000E7288" w:rsidRPr="00E55E3D" w:rsidRDefault="000E7288" w:rsidP="000E7288">
      <w:pPr>
        <w:spacing w:line="360" w:lineRule="auto"/>
        <w:rPr>
          <w:rFonts w:ascii="Times New Roman" w:hAnsi="Times New Roman"/>
          <w:sz w:val="18"/>
          <w:szCs w:val="18"/>
          <w:lang w:val="uk-UA"/>
        </w:rPr>
      </w:pPr>
      <w:r w:rsidRPr="00E55E3D">
        <w:rPr>
          <w:rFonts w:ascii="Times New Roman" w:hAnsi="Times New Roman"/>
          <w:sz w:val="18"/>
          <w:szCs w:val="18"/>
          <w:lang w:val="uk-UA"/>
        </w:rPr>
        <w:t>спину прогнути, підборіддя підняти           догори і нахилитися вперед, ноги         або вліво, спину тримати рівно, ноги                                                                   до гори, ноги в колінному                           і руки не згинати, спину тримати           в колінах не згинати, руки тримати                                                             суглобі не згинати.                                       рівно  підборіддя підняти до гори.          рівно і не згинати в ліктях.</w:t>
      </w:r>
    </w:p>
    <w:p w:rsidR="000E7288" w:rsidRDefault="000E7288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A19" w:rsidRDefault="008623E0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1D81">
        <w:rPr>
          <w:rFonts w:ascii="Times New Roman" w:hAnsi="Times New Roman"/>
          <w:sz w:val="28"/>
          <w:szCs w:val="28"/>
          <w:lang w:val="uk-UA"/>
        </w:rPr>
        <w:t>Також було розроблено таблицю оцінювання рівня гнучкості,  використовуючи  нестандартний пристрій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7288" w:rsidRPr="00E55E3D" w:rsidRDefault="000E7288" w:rsidP="000E72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E3D">
        <w:rPr>
          <w:rFonts w:ascii="Times New Roman" w:hAnsi="Times New Roman"/>
          <w:b/>
          <w:sz w:val="28"/>
          <w:szCs w:val="28"/>
          <w:lang w:val="uk-UA"/>
        </w:rPr>
        <w:t xml:space="preserve">Таблиця оцінювання  рівня  гнучкості в кутових мірах 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1843"/>
        <w:gridCol w:w="1689"/>
        <w:gridCol w:w="1508"/>
        <w:gridCol w:w="1588"/>
      </w:tblGrid>
      <w:tr w:rsidR="000E7288" w:rsidRPr="00E55E3D" w:rsidTr="008F14F0">
        <w:tc>
          <w:tcPr>
            <w:tcW w:w="534" w:type="dxa"/>
          </w:tcPr>
          <w:p w:rsidR="000E7288" w:rsidRPr="00E55E3D" w:rsidRDefault="000E7288" w:rsidP="008F14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0E7288" w:rsidRPr="00E55E3D" w:rsidRDefault="000E7288" w:rsidP="008F14F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Назва вправи</w:t>
            </w:r>
          </w:p>
        </w:tc>
        <w:tc>
          <w:tcPr>
            <w:tcW w:w="1843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689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0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58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0E7288" w:rsidRPr="00E55E3D" w:rsidTr="008F14F0">
        <w:tc>
          <w:tcPr>
            <w:tcW w:w="534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09" w:type="dxa"/>
          </w:tcPr>
          <w:p w:rsidR="000E7288" w:rsidRPr="00E55E3D" w:rsidRDefault="000E7288" w:rsidP="008F14F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5E3D">
              <w:rPr>
                <w:rFonts w:ascii="Times New Roman" w:hAnsi="Times New Roman"/>
                <w:sz w:val="18"/>
                <w:szCs w:val="18"/>
                <w:lang w:val="uk-UA"/>
              </w:rPr>
              <w:t>Нахил тулуба вперед з прямими руками (положення стоячи ).</w:t>
            </w:r>
          </w:p>
        </w:tc>
        <w:tc>
          <w:tcPr>
            <w:tcW w:w="1843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до 110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689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-130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0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-150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8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150-180 і більше</w:t>
            </w:r>
          </w:p>
        </w:tc>
      </w:tr>
      <w:tr w:rsidR="000E7288" w:rsidRPr="00E55E3D" w:rsidTr="008F14F0">
        <w:tc>
          <w:tcPr>
            <w:tcW w:w="534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9" w:type="dxa"/>
          </w:tcPr>
          <w:p w:rsidR="000E7288" w:rsidRPr="00E55E3D" w:rsidRDefault="000E7288" w:rsidP="008F14F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5E3D">
              <w:rPr>
                <w:rFonts w:ascii="Times New Roman" w:hAnsi="Times New Roman"/>
                <w:sz w:val="18"/>
                <w:szCs w:val="18"/>
                <w:lang w:val="uk-UA"/>
              </w:rPr>
              <w:t>Нахил тулуба в перед, руки за спиною (положення стоячи).</w:t>
            </w:r>
          </w:p>
        </w:tc>
        <w:tc>
          <w:tcPr>
            <w:tcW w:w="1843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до 30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689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-50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0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-70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8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-90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о 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і більше</w:t>
            </w:r>
          </w:p>
        </w:tc>
      </w:tr>
      <w:tr w:rsidR="000E7288" w:rsidRPr="00E55E3D" w:rsidTr="008F14F0">
        <w:tc>
          <w:tcPr>
            <w:tcW w:w="534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09" w:type="dxa"/>
          </w:tcPr>
          <w:p w:rsidR="000E7288" w:rsidRPr="00E55E3D" w:rsidRDefault="000E7288" w:rsidP="008F14F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5E3D">
              <w:rPr>
                <w:rFonts w:ascii="Times New Roman" w:hAnsi="Times New Roman"/>
                <w:sz w:val="18"/>
                <w:szCs w:val="18"/>
                <w:lang w:val="uk-UA"/>
              </w:rPr>
              <w:t>Нахил тулуба в сторону , руки догори (положення стоячи).</w:t>
            </w:r>
          </w:p>
        </w:tc>
        <w:tc>
          <w:tcPr>
            <w:tcW w:w="1843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-120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689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-140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0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-160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</w:p>
        </w:tc>
        <w:tc>
          <w:tcPr>
            <w:tcW w:w="1588" w:type="dxa"/>
          </w:tcPr>
          <w:p w:rsidR="000E7288" w:rsidRPr="00E55E3D" w:rsidRDefault="000E7288" w:rsidP="008F14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>-180</w:t>
            </w:r>
            <w:r w:rsidRPr="00E55E3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E55E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більше</w:t>
            </w:r>
          </w:p>
        </w:tc>
      </w:tr>
    </w:tbl>
    <w:p w:rsidR="000E7288" w:rsidRDefault="000E7288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288" w:rsidRDefault="000E7288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A21" w:rsidRDefault="002C5A21" w:rsidP="002C5A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A8E" w:rsidRPr="00AC1D81" w:rsidRDefault="00D75A8E" w:rsidP="00D75A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DA1" w:rsidRPr="00244CBF" w:rsidRDefault="00FD4DA1">
      <w:pPr>
        <w:rPr>
          <w:lang w:val="uk-UA"/>
        </w:rPr>
      </w:pPr>
    </w:p>
    <w:sectPr w:rsidR="00FD4DA1" w:rsidRPr="00244CBF" w:rsidSect="00E4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2182C67C"/>
    <w:lvl w:ilvl="0" w:tplc="04190001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8172789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BF"/>
    <w:rsid w:val="000E7288"/>
    <w:rsid w:val="00130659"/>
    <w:rsid w:val="00165AB5"/>
    <w:rsid w:val="001E6761"/>
    <w:rsid w:val="00244CBF"/>
    <w:rsid w:val="002C5A21"/>
    <w:rsid w:val="005364AB"/>
    <w:rsid w:val="005B31B3"/>
    <w:rsid w:val="007019AA"/>
    <w:rsid w:val="00786D2E"/>
    <w:rsid w:val="008623E0"/>
    <w:rsid w:val="009A5A19"/>
    <w:rsid w:val="00C00550"/>
    <w:rsid w:val="00C24979"/>
    <w:rsid w:val="00D75A8E"/>
    <w:rsid w:val="00E43183"/>
    <w:rsid w:val="00F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0E72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4.jpeg"/><Relationship Id="rId5" Type="http://schemas.openxmlformats.org/officeDocument/2006/relationships/chart" Target="charts/chart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Стрибок у довжину з місця  (см)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5113918051910181E-2"/>
          <c:y val="0.14325396825396822"/>
          <c:w val="0.87784904491105364"/>
          <c:h val="0.67391513560805005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 рівень навчальних досягненнь 2013-2014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0.41000000000000031</c:v>
                </c:pt>
                <c:pt idx="1">
                  <c:v>0.14000000000000001</c:v>
                </c:pt>
                <c:pt idx="2">
                  <c:v>5.0000000000000017E-2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рівень навчальних досягненнь 2014-2015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Аркуш1!$C$2:$C$5</c:f>
              <c:numCache>
                <c:formatCode>0.00%</c:formatCode>
                <c:ptCount val="4"/>
                <c:pt idx="0">
                  <c:v>9.0000000000000052E-2</c:v>
                </c:pt>
                <c:pt idx="1">
                  <c:v>0.18000000000000022</c:v>
                </c:pt>
                <c:pt idx="2">
                  <c:v>0.14000000000000001</c:v>
                </c:pt>
                <c:pt idx="3">
                  <c:v>0.59000000000000008</c:v>
                </c:pt>
              </c:numCache>
            </c:numRef>
          </c:val>
        </c:ser>
        <c:dLbls>
          <c:showVal val="1"/>
        </c:dLbls>
        <c:gapWidth val="100"/>
        <c:overlap val="-24"/>
        <c:axId val="195918080"/>
        <c:axId val="200368128"/>
      </c:barChart>
      <c:catAx>
        <c:axId val="195918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368128"/>
        <c:crosses val="autoZero"/>
        <c:auto val="1"/>
        <c:lblAlgn val="ctr"/>
        <c:lblOffset val="100"/>
      </c:catAx>
      <c:valAx>
        <c:axId val="200368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1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768233919998738E-2"/>
          <c:y val="0.91627826824677205"/>
          <c:w val="0.89999991117861633"/>
          <c:h val="5.341870145019753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Нахил</a:t>
            </a: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тулуба вперед з положення сидячи (см)</a:t>
            </a:r>
            <a:endParaRPr lang="uk-UA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0048301254010005E-2"/>
          <c:y val="0.14325396825396822"/>
          <c:w val="0.87784904491105364"/>
          <c:h val="0.67391513560805005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 рівень навчальних досягненнь 2013-2014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0.68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рівень навчальних досягненнь 2014-2015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Аркуш1!$C$2:$C$5</c:f>
              <c:numCache>
                <c:formatCode>0.00%</c:formatCode>
                <c:ptCount val="4"/>
                <c:pt idx="0">
                  <c:v>0.45</c:v>
                </c:pt>
                <c:pt idx="1">
                  <c:v>0.23</c:v>
                </c:pt>
                <c:pt idx="2">
                  <c:v>0.05</c:v>
                </c:pt>
                <c:pt idx="3">
                  <c:v>0.27</c:v>
                </c:pt>
              </c:numCache>
            </c:numRef>
          </c:val>
        </c:ser>
        <c:dLbls>
          <c:showVal val="1"/>
        </c:dLbls>
        <c:gapWidth val="100"/>
        <c:overlap val="-24"/>
        <c:axId val="200530560"/>
        <c:axId val="152092672"/>
      </c:barChart>
      <c:catAx>
        <c:axId val="20053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092672"/>
        <c:crosses val="autoZero"/>
        <c:auto val="1"/>
        <c:lblAlgn val="ctr"/>
        <c:lblOffset val="100"/>
      </c:catAx>
      <c:valAx>
        <c:axId val="152092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53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5438507382E-2"/>
          <c:y val="0.88521694047503208"/>
          <c:w val="0.8999999108770147"/>
          <c:h val="9.502997310521386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"Човниковий</a:t>
            </a: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біг" 4х9 м (с)</a:t>
            </a:r>
            <a:endParaRPr lang="uk-UA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00482600965202E-2"/>
          <c:y val="0.13337740189883673"/>
          <c:w val="0.87784904491105364"/>
          <c:h val="0.67391513560805005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 рівень навчальних досягненнь 2013-2014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0.45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0.32000000000000051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 рівень навчальних досягненнь 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 </c:v>
                </c:pt>
                <c:pt idx="1">
                  <c:v>Середній </c:v>
                </c:pt>
                <c:pt idx="2">
                  <c:v>Достатній </c:v>
                </c:pt>
                <c:pt idx="3">
                  <c:v>Високий </c:v>
                </c:pt>
              </c:strCache>
            </c:strRef>
          </c:cat>
          <c:val>
            <c:numRef>
              <c:f>Аркуш1!$C$2:$C$5</c:f>
              <c:numCache>
                <c:formatCode>0.00%</c:formatCode>
                <c:ptCount val="4"/>
                <c:pt idx="0">
                  <c:v>9.0000000000000024E-2</c:v>
                </c:pt>
                <c:pt idx="1">
                  <c:v>0.27</c:v>
                </c:pt>
                <c:pt idx="2">
                  <c:v>0.05</c:v>
                </c:pt>
                <c:pt idx="3">
                  <c:v>0.59</c:v>
                </c:pt>
              </c:numCache>
            </c:numRef>
          </c:val>
        </c:ser>
        <c:dLbls>
          <c:showVal val="1"/>
        </c:dLbls>
        <c:gapWidth val="100"/>
        <c:overlap val="-24"/>
        <c:axId val="147408000"/>
        <c:axId val="200370432"/>
      </c:barChart>
      <c:catAx>
        <c:axId val="147408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370432"/>
        <c:crosses val="autoZero"/>
        <c:auto val="1"/>
        <c:lblAlgn val="ctr"/>
        <c:lblOffset val="100"/>
      </c:catAx>
      <c:valAx>
        <c:axId val="200370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40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9999955438507382E-2"/>
          <c:y val="0.87799799099186671"/>
          <c:w val="0.8999999108770147"/>
          <c:h val="8.249583616862722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иній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иній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иній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2017-10-11T15:39:00Z</dcterms:created>
  <dcterms:modified xsi:type="dcterms:W3CDTF">2017-10-12T05:55:00Z</dcterms:modified>
</cp:coreProperties>
</file>